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2"/>
        </w:numPr>
        <w:tabs>
          <w:tab w:val="left" w:leader="none" w:pos="0"/>
        </w:tabs>
        <w:spacing w:after="120" w:before="120" w:lineRule="auto"/>
        <w:ind w:left="0" w:firstLine="0"/>
        <w:rPr/>
      </w:pPr>
      <w:bookmarkStart w:colFirst="0" w:colLast="0" w:name="_heading=h.gjdgxs" w:id="0"/>
      <w:bookmarkEnd w:id="0"/>
      <w:r w:rsidDel="00000000" w:rsidR="00000000" w:rsidRPr="00000000">
        <w:rPr>
          <w:rtl w:val="0"/>
        </w:rPr>
        <w:t xml:space="preserve">Joint Schedule 7 (Financial Difficulties)</w:t>
      </w:r>
    </w:p>
    <w:sdt>
      <w:sdtPr>
        <w:docPartObj>
          <w:docPartGallery w:val="Table of Contents"/>
          <w:docPartUnique w:val="1"/>
        </w:docPartObj>
      </w:sdtPr>
      <w:sdtContent>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right" w:leader="none" w:pos="9016"/>
            </w:tabs>
            <w:spacing w:after="100" w:lineRule="auto"/>
            <w:rPr>
              <w:color w:val="000000"/>
            </w:rPr>
          </w:pPr>
          <w:r w:rsidDel="00000000" w:rsidR="00000000" w:rsidRPr="00000000">
            <w:fldChar w:fldCharType="begin"/>
            <w:instrText xml:space="preserve"> TOC \h \u \z \t "Heading 1,1,Heading 2,2,Heading 3,3,Heading 4,4,Heading 5,5,Heading 6,6,"</w:instrText>
            <w:fldChar w:fldCharType="separate"/>
          </w:r>
          <w:hyperlink w:anchor="_heading=h.gjdgxs">
            <w:r w:rsidDel="00000000" w:rsidR="00000000" w:rsidRPr="00000000">
              <w:rPr>
                <w:color w:val="000000"/>
                <w:rtl w:val="0"/>
              </w:rPr>
              <w:t xml:space="preserve">Joint Schedule 7 (Financial Difficulties)</w:t>
              <w:tab/>
              <w:t xml:space="preserve">1</w:t>
            </w:r>
          </w:hyperlink>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880"/>
              <w:tab w:val="right" w:leader="none" w:pos="9016"/>
            </w:tabs>
            <w:spacing w:after="100" w:lineRule="auto"/>
            <w:ind w:left="440" w:firstLine="0"/>
            <w:rPr>
              <w:color w:val="000000"/>
            </w:rPr>
          </w:pPr>
          <w:hyperlink w:anchor="_heading=h.1fob9te">
            <w:r w:rsidDel="00000000" w:rsidR="00000000" w:rsidRPr="00000000">
              <w:rPr>
                <w:color w:val="000000"/>
                <w:rtl w:val="0"/>
              </w:rPr>
              <w:t xml:space="preserve">1.</w:t>
              <w:tab/>
              <w:t xml:space="preserve">Definitions</w:t>
              <w:tab/>
              <w:t xml:space="preserve">1</w:t>
            </w:r>
          </w:hyperlink>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880"/>
              <w:tab w:val="right" w:leader="none" w:pos="9016"/>
            </w:tabs>
            <w:spacing w:after="100" w:lineRule="auto"/>
            <w:ind w:left="440" w:firstLine="0"/>
            <w:rPr>
              <w:color w:val="000000"/>
            </w:rPr>
          </w:pPr>
          <w:hyperlink w:anchor="_heading=h.26in1rg">
            <w:r w:rsidDel="00000000" w:rsidR="00000000" w:rsidRPr="00000000">
              <w:rPr>
                <w:color w:val="000000"/>
                <w:rtl w:val="0"/>
              </w:rPr>
              <w:t xml:space="preserve">2.</w:t>
              <w:tab/>
              <w:t xml:space="preserve">When this Schedule applies</w:t>
              <w:tab/>
              <w:t xml:space="preserve">2</w:t>
            </w:r>
          </w:hyperlink>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880"/>
              <w:tab w:val="right" w:leader="none" w:pos="9016"/>
            </w:tabs>
            <w:spacing w:after="100" w:lineRule="auto"/>
            <w:ind w:left="440" w:firstLine="0"/>
            <w:rPr>
              <w:color w:val="000000"/>
            </w:rPr>
          </w:pPr>
          <w:hyperlink w:anchor="_heading=h.lnxbz9">
            <w:r w:rsidDel="00000000" w:rsidR="00000000" w:rsidRPr="00000000">
              <w:rPr>
                <w:color w:val="000000"/>
                <w:rtl w:val="0"/>
              </w:rPr>
              <w:t xml:space="preserve">3.</w:t>
              <w:tab/>
              <w:t xml:space="preserve">What happens when your credit rating changes</w:t>
              <w:tab/>
              <w:t xml:space="preserve">3</w:t>
            </w:r>
          </w:hyperlink>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880"/>
              <w:tab w:val="right" w:leader="none" w:pos="9016"/>
            </w:tabs>
            <w:spacing w:after="100" w:lineRule="auto"/>
            <w:ind w:left="440" w:firstLine="0"/>
            <w:rPr>
              <w:color w:val="000000"/>
            </w:rPr>
          </w:pPr>
          <w:hyperlink w:anchor="_heading=h.35nkun2">
            <w:r w:rsidDel="00000000" w:rsidR="00000000" w:rsidRPr="00000000">
              <w:rPr>
                <w:color w:val="000000"/>
                <w:rtl w:val="0"/>
              </w:rPr>
              <w:t xml:space="preserve">4.</w:t>
              <w:tab/>
              <w:t xml:space="preserve">What happens if there is a financial distress event</w:t>
              <w:tab/>
              <w:t xml:space="preserve">4</w:t>
            </w:r>
          </w:hyperlink>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880"/>
              <w:tab w:val="right" w:leader="none" w:pos="9016"/>
            </w:tabs>
            <w:spacing w:after="100" w:lineRule="auto"/>
            <w:ind w:left="440" w:firstLine="0"/>
            <w:rPr>
              <w:color w:val="000000"/>
            </w:rPr>
          </w:pPr>
          <w:hyperlink w:anchor="_heading=h.1ksv4uv">
            <w:r w:rsidDel="00000000" w:rsidR="00000000" w:rsidRPr="00000000">
              <w:rPr>
                <w:color w:val="000000"/>
                <w:rtl w:val="0"/>
              </w:rPr>
              <w:t xml:space="preserve">5.</w:t>
              <w:tab/>
              <w:t xml:space="preserve">When can CCS or the Buyer terminate for financial distress</w:t>
              <w:tab/>
              <w:t xml:space="preserve">5</w:t>
            </w:r>
          </w:hyperlink>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880"/>
              <w:tab w:val="right" w:leader="none" w:pos="9016"/>
            </w:tabs>
            <w:spacing w:after="100" w:lineRule="auto"/>
            <w:ind w:left="440" w:firstLine="0"/>
            <w:rPr>
              <w:color w:val="000000"/>
            </w:rPr>
          </w:pPr>
          <w:hyperlink w:anchor="_heading=h.44sinio">
            <w:r w:rsidDel="00000000" w:rsidR="00000000" w:rsidRPr="00000000">
              <w:rPr>
                <w:color w:val="000000"/>
                <w:rtl w:val="0"/>
              </w:rPr>
              <w:t xml:space="preserve">6.</w:t>
              <w:tab/>
              <w:t xml:space="preserve">What happens If your credit rating is still good</w:t>
              <w:tab/>
              <w:t xml:space="preserve">5</w:t>
            </w:r>
          </w:hyperlink>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right" w:leader="none" w:pos="9016"/>
            </w:tabs>
            <w:spacing w:after="100" w:lineRule="auto"/>
            <w:ind w:left="220" w:firstLine="0"/>
            <w:rPr>
              <w:color w:val="000000"/>
            </w:rPr>
          </w:pPr>
          <w:hyperlink w:anchor="_heading=h.2jxsxqh">
            <w:r w:rsidDel="00000000" w:rsidR="00000000" w:rsidRPr="00000000">
              <w:rPr>
                <w:color w:val="000000"/>
                <w:rtl w:val="0"/>
              </w:rPr>
              <w:t xml:space="preserve">ANNEX 1: Rating Agencies</w:t>
              <w:tab/>
              <w:t xml:space="preserve">6</w:t>
            </w:r>
          </w:hyperlink>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right" w:leader="none" w:pos="9016"/>
            </w:tabs>
            <w:spacing w:after="100" w:lineRule="auto"/>
            <w:ind w:left="220" w:firstLine="0"/>
            <w:rPr>
              <w:color w:val="000000"/>
            </w:rPr>
          </w:pPr>
          <w:hyperlink w:anchor="_heading=h.z337ya">
            <w:r w:rsidDel="00000000" w:rsidR="00000000" w:rsidRPr="00000000">
              <w:rPr>
                <w:color w:val="000000"/>
                <w:rtl w:val="0"/>
              </w:rPr>
              <w:t xml:space="preserve">ANNEX 2: Credit Ratings &amp; Credit Rating Thresholds</w:t>
              <w:tab/>
              <w:t xml:space="preserve">6</w:t>
            </w:r>
          </w:hyperlink>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right" w:leader="none" w:pos="9016"/>
            </w:tabs>
            <w:spacing w:after="100" w:lineRule="auto"/>
            <w:ind w:left="440" w:firstLine="0"/>
            <w:rPr>
              <w:color w:val="000000"/>
            </w:rPr>
          </w:pPr>
          <w:hyperlink w:anchor="_heading=h.3j2qqm3">
            <w:r w:rsidDel="00000000" w:rsidR="00000000" w:rsidRPr="00000000">
              <w:rPr>
                <w:color w:val="000000"/>
                <w:rtl w:val="0"/>
              </w:rPr>
              <w:t xml:space="preserve">Part 1: Current Rating</w:t>
              <w:tab/>
              <w:t xml:space="preserve">6</w:t>
            </w:r>
          </w:hyperlink>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right" w:leader="none" w:pos="8576"/>
            </w:tabs>
            <w:spacing w:before="120" w:lineRule="auto"/>
            <w:ind w:left="440" w:firstLine="0"/>
            <w:rPr>
              <w:color w:val="00000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spacing w:before="120" w:lineRule="auto"/>
        <w:rPr/>
      </w:pPr>
      <w:r w:rsidDel="00000000" w:rsidR="00000000" w:rsidRPr="00000000">
        <w:rPr>
          <w:rtl w:val="0"/>
        </w:rPr>
      </w:r>
    </w:p>
    <w:p w:rsidR="00000000" w:rsidDel="00000000" w:rsidP="00000000" w:rsidRDefault="00000000" w:rsidRPr="00000000" w14:paraId="0000000E">
      <w:pPr>
        <w:pStyle w:val="Heading3"/>
        <w:numPr>
          <w:ilvl w:val="0"/>
          <w:numId w:val="1"/>
        </w:numPr>
        <w:spacing w:after="120" w:before="120" w:line="240" w:lineRule="auto"/>
        <w:ind w:left="567" w:hanging="567"/>
        <w:rPr/>
      </w:pPr>
      <w:bookmarkStart w:colFirst="0" w:colLast="0" w:name="_heading=h.1fob9te" w:id="1"/>
      <w:bookmarkEnd w:id="1"/>
      <w:r w:rsidDel="00000000" w:rsidR="00000000" w:rsidRPr="00000000">
        <w:rPr>
          <w:rtl w:val="0"/>
        </w:rPr>
        <w:t xml:space="preserve">Definitions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In this Schedule, the following words shall have the following meanings and they shall supplement Joint Schedule 1 (Definitions):</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rtl w:val="0"/>
        </w:rPr>
      </w:r>
    </w:p>
    <w:tbl>
      <w:tblPr>
        <w:tblStyle w:val="Table1"/>
        <w:tblW w:w="8484.0" w:type="dxa"/>
        <w:jc w:val="left"/>
        <w:tblInd w:w="459.0" w:type="dxa"/>
        <w:tblLayout w:type="fixed"/>
        <w:tblLook w:val="0000"/>
      </w:tblPr>
      <w:tblGrid>
        <w:gridCol w:w="2896"/>
        <w:gridCol w:w="5588"/>
        <w:tblGridChange w:id="0">
          <w:tblGrid>
            <w:gridCol w:w="2896"/>
            <w:gridCol w:w="5588"/>
          </w:tblGrid>
        </w:tblGridChange>
      </w:tblGrid>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before="120" w:lineRule="auto"/>
              <w:ind w:left="-108" w:firstLine="0"/>
              <w:rPr>
                <w:b w:val="1"/>
                <w:color w:val="000000"/>
              </w:rPr>
            </w:pPr>
            <w:r w:rsidDel="00000000" w:rsidR="00000000" w:rsidRPr="00000000">
              <w:rPr>
                <w:b w:val="1"/>
                <w:color w:val="000000"/>
                <w:rtl w:val="0"/>
              </w:rPr>
              <w:t xml:space="preserve">“Credit Rating Threshold”</w:t>
            </w:r>
          </w:p>
        </w:tc>
        <w:tc>
          <w:tcPr>
            <w:shd w:fill="auto" w:val="clear"/>
          </w:tcPr>
          <w:p w:rsidR="00000000" w:rsidDel="00000000" w:rsidP="00000000" w:rsidRDefault="00000000" w:rsidRPr="00000000" w14:paraId="00000012">
            <w:pPr>
              <w:numPr>
                <w:ilvl w:val="0"/>
                <w:numId w:val="3"/>
              </w:numPr>
              <w:pBdr>
                <w:top w:space="0" w:sz="0" w:val="nil"/>
                <w:left w:space="0" w:sz="0" w:val="nil"/>
                <w:bottom w:space="0" w:sz="0" w:val="nil"/>
                <w:right w:space="0" w:sz="0" w:val="nil"/>
                <w:between w:space="0" w:sz="0" w:val="nil"/>
              </w:pBdr>
              <w:tabs>
                <w:tab w:val="left" w:leader="none" w:pos="5"/>
              </w:tabs>
              <w:spacing w:before="120" w:lineRule="auto"/>
              <w:ind w:left="170" w:hanging="170"/>
              <w:rPr>
                <w:color w:val="000000"/>
              </w:rPr>
            </w:pPr>
            <w:r w:rsidDel="00000000" w:rsidR="00000000" w:rsidRPr="00000000">
              <w:rPr>
                <w:color w:val="000000"/>
                <w:rtl w:val="0"/>
              </w:rPr>
              <w:t xml:space="preserve">the minimum credit rating level for the Monitored Company as set out in Annex 2 and</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120" w:lineRule="auto"/>
              <w:ind w:left="-108" w:firstLine="0"/>
              <w:rPr>
                <w:b w:val="1"/>
                <w:color w:val="000000"/>
              </w:rPr>
            </w:pPr>
            <w:r w:rsidDel="00000000" w:rsidR="00000000" w:rsidRPr="00000000">
              <w:rPr>
                <w:b w:val="1"/>
                <w:color w:val="000000"/>
                <w:rtl w:val="0"/>
              </w:rPr>
              <w:t xml:space="preserve">"Financial Distress Event"</w:t>
            </w:r>
          </w:p>
        </w:tc>
        <w:tc>
          <w:tcPr>
            <w:shd w:fill="auto" w:val="clear"/>
          </w:tcPr>
          <w:p w:rsidR="00000000" w:rsidDel="00000000" w:rsidP="00000000" w:rsidRDefault="00000000" w:rsidRPr="00000000" w14:paraId="00000014">
            <w:pPr>
              <w:numPr>
                <w:ilvl w:val="0"/>
                <w:numId w:val="3"/>
              </w:numPr>
              <w:pBdr>
                <w:top w:space="0" w:sz="0" w:val="nil"/>
                <w:left w:space="0" w:sz="0" w:val="nil"/>
                <w:bottom w:space="0" w:sz="0" w:val="nil"/>
                <w:right w:space="0" w:sz="0" w:val="nil"/>
                <w:between w:space="0" w:sz="0" w:val="nil"/>
              </w:pBdr>
              <w:tabs>
                <w:tab w:val="left" w:leader="none" w:pos="5"/>
              </w:tabs>
              <w:spacing w:before="120" w:lineRule="auto"/>
              <w:ind w:left="170" w:hanging="170"/>
              <w:rPr>
                <w:color w:val="000000"/>
              </w:rPr>
            </w:pPr>
            <w:r w:rsidDel="00000000" w:rsidR="00000000" w:rsidRPr="00000000">
              <w:rPr>
                <w:color w:val="000000"/>
                <w:rtl w:val="0"/>
              </w:rPr>
              <w:t xml:space="preserve">the occurrence or one or more of the following events:</w:t>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leader="none" w:pos="5"/>
              </w:tabs>
              <w:spacing w:before="120" w:lineRule="auto"/>
              <w:ind w:left="720" w:hanging="471"/>
              <w:rPr/>
            </w:pPr>
            <w:r w:rsidDel="00000000" w:rsidR="00000000" w:rsidRPr="00000000">
              <w:rPr>
                <w:color w:val="000000"/>
                <w:rtl w:val="0"/>
              </w:rPr>
              <w:t xml:space="preserve">the credit rating of the Monitored Company dropping below the applicable Credit Rating Threshold;</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leader="none" w:pos="5"/>
              </w:tabs>
              <w:spacing w:before="120" w:lineRule="auto"/>
              <w:ind w:left="720" w:hanging="471"/>
              <w:rPr/>
            </w:pPr>
            <w:r w:rsidDel="00000000" w:rsidR="00000000" w:rsidRPr="00000000">
              <w:rPr>
                <w:color w:val="000000"/>
                <w:rtl w:val="0"/>
              </w:rPr>
              <w:t xml:space="preserve">the Monitored Company issuing a profits warning to a stock exchange or making any other public announcement about a material deterioration in its financial position or prospects;</w:t>
            </w:r>
            <w:r w:rsidDel="00000000" w:rsidR="00000000" w:rsidRPr="00000000">
              <w:rPr>
                <w:rtl w:val="0"/>
              </w:rPr>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leader="none" w:pos="5"/>
              </w:tabs>
              <w:spacing w:before="120" w:lineRule="auto"/>
              <w:ind w:left="720" w:hanging="471"/>
              <w:rPr/>
            </w:pPr>
            <w:r w:rsidDel="00000000" w:rsidR="00000000" w:rsidRPr="00000000">
              <w:rPr>
                <w:color w:val="000000"/>
                <w:rtl w:val="0"/>
              </w:rPr>
              <w:t xml:space="preserve">there being a public investigation into improper financial accounting and reporting, suspected fraud or any other impropriety of the Monitored Party; </w:t>
            </w:r>
            <w:r w:rsidDel="00000000" w:rsidR="00000000" w:rsidRPr="00000000">
              <w:rPr>
                <w:rtl w:val="0"/>
              </w:rPr>
            </w:r>
          </w:p>
          <w:p w:rsidR="00000000" w:rsidDel="00000000" w:rsidP="00000000" w:rsidRDefault="00000000" w:rsidRPr="00000000" w14:paraId="00000018">
            <w:pPr>
              <w:numPr>
                <w:ilvl w:val="1"/>
                <w:numId w:val="3"/>
              </w:numPr>
              <w:pBdr>
                <w:top w:space="0" w:sz="0" w:val="nil"/>
                <w:left w:space="0" w:sz="0" w:val="nil"/>
                <w:bottom w:space="0" w:sz="0" w:val="nil"/>
                <w:right w:space="0" w:sz="0" w:val="nil"/>
                <w:between w:space="0" w:sz="0" w:val="nil"/>
              </w:pBdr>
              <w:tabs>
                <w:tab w:val="left" w:leader="none" w:pos="5"/>
              </w:tabs>
              <w:spacing w:before="120" w:lineRule="auto"/>
              <w:ind w:left="720" w:hanging="471"/>
              <w:rPr/>
            </w:pPr>
            <w:r w:rsidDel="00000000" w:rsidR="00000000" w:rsidRPr="00000000">
              <w:rPr>
                <w:color w:val="000000"/>
                <w:rtl w:val="0"/>
              </w:rPr>
              <w:t xml:space="preserve">Monitored Company committing a material breach of covenant to its lenders; </w:t>
            </w:r>
            <w:r w:rsidDel="00000000" w:rsidR="00000000" w:rsidRPr="00000000">
              <w:rPr>
                <w:rtl w:val="0"/>
              </w:rPr>
            </w:r>
          </w:p>
          <w:p w:rsidR="00000000" w:rsidDel="00000000" w:rsidP="00000000" w:rsidRDefault="00000000" w:rsidRPr="00000000" w14:paraId="00000019">
            <w:pPr>
              <w:numPr>
                <w:ilvl w:val="1"/>
                <w:numId w:val="3"/>
              </w:numPr>
              <w:pBdr>
                <w:top w:space="0" w:sz="0" w:val="nil"/>
                <w:left w:space="0" w:sz="0" w:val="nil"/>
                <w:bottom w:space="0" w:sz="0" w:val="nil"/>
                <w:right w:space="0" w:sz="0" w:val="nil"/>
                <w:between w:space="0" w:sz="0" w:val="nil"/>
              </w:pBdr>
              <w:tabs>
                <w:tab w:val="left" w:leader="none" w:pos="5"/>
              </w:tabs>
              <w:spacing w:before="120" w:lineRule="auto"/>
              <w:ind w:left="720" w:hanging="471"/>
              <w:rPr/>
            </w:pPr>
            <w:r w:rsidDel="00000000" w:rsidR="00000000" w:rsidRPr="00000000">
              <w:rPr>
                <w:color w:val="000000"/>
                <w:rtl w:val="0"/>
              </w:rPr>
              <w:t xml:space="preserve">a Key Subcontractor (where applicable) notifying CCS that the Supplier has not satisfied any sums properly due under a specified invoice and not subject to a genuine dispute; or</w:t>
            </w:r>
            <w:r w:rsidDel="00000000" w:rsidR="00000000" w:rsidRPr="00000000">
              <w:rPr>
                <w:rtl w:val="0"/>
              </w:rPr>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tabs>
                <w:tab w:val="left" w:leader="none" w:pos="5"/>
              </w:tabs>
              <w:spacing w:before="120" w:lineRule="auto"/>
              <w:ind w:left="720" w:hanging="471"/>
              <w:rPr/>
            </w:pPr>
            <w:r w:rsidDel="00000000" w:rsidR="00000000" w:rsidRPr="00000000">
              <w:rPr>
                <w:color w:val="000000"/>
                <w:rtl w:val="0"/>
              </w:rPr>
              <w:t xml:space="preserve">any of the following:</w:t>
            </w:r>
            <w:r w:rsidDel="00000000" w:rsidR="00000000" w:rsidRPr="00000000">
              <w:rPr>
                <w:rtl w:val="0"/>
              </w:rPr>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leader="none" w:pos="5"/>
              </w:tabs>
              <w:spacing w:before="120" w:lineRule="auto"/>
              <w:ind w:left="1080" w:hanging="360"/>
              <w:rPr>
                <w:color w:val="000000"/>
              </w:rPr>
            </w:pPr>
            <w:r w:rsidDel="00000000" w:rsidR="00000000" w:rsidRPr="00000000">
              <w:rPr>
                <w:color w:val="000000"/>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1C">
            <w:pPr>
              <w:numPr>
                <w:ilvl w:val="2"/>
                <w:numId w:val="3"/>
              </w:numPr>
              <w:pBdr>
                <w:top w:space="0" w:sz="0" w:val="nil"/>
                <w:left w:space="0" w:sz="0" w:val="nil"/>
                <w:bottom w:space="0" w:sz="0" w:val="nil"/>
                <w:right w:space="0" w:sz="0" w:val="nil"/>
                <w:between w:space="0" w:sz="0" w:val="nil"/>
              </w:pBdr>
              <w:tabs>
                <w:tab w:val="left" w:leader="none" w:pos="5"/>
              </w:tabs>
              <w:spacing w:before="120" w:lineRule="auto"/>
              <w:ind w:left="1080" w:hanging="360"/>
              <w:rPr>
                <w:color w:val="000000"/>
              </w:rPr>
            </w:pPr>
            <w:r w:rsidDel="00000000" w:rsidR="00000000" w:rsidRPr="00000000">
              <w:rPr>
                <w:color w:val="000000"/>
                <w:rtl w:val="0"/>
              </w:rPr>
              <w:t xml:space="preserve">non-payment by the Monitored Company of any financial indebtedness;</w:t>
            </w:r>
          </w:p>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tabs>
                <w:tab w:val="left" w:leader="none" w:pos="5"/>
              </w:tabs>
              <w:spacing w:before="120" w:lineRule="auto"/>
              <w:ind w:left="1080" w:hanging="360"/>
              <w:rPr>
                <w:color w:val="000000"/>
              </w:rPr>
            </w:pPr>
            <w:r w:rsidDel="00000000" w:rsidR="00000000" w:rsidRPr="00000000">
              <w:rPr>
                <w:color w:val="000000"/>
                <w:rtl w:val="0"/>
              </w:rPr>
              <w:t xml:space="preserve">any financial indebtedness of the Monitored Company becoming due as a result of an event of default; or</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tabs>
                <w:tab w:val="left" w:leader="none" w:pos="5"/>
              </w:tabs>
              <w:spacing w:before="120" w:lineRule="auto"/>
              <w:ind w:left="1080" w:hanging="360"/>
              <w:rPr>
                <w:color w:val="000000"/>
              </w:rPr>
            </w:pPr>
            <w:r w:rsidDel="00000000" w:rsidR="00000000" w:rsidRPr="00000000">
              <w:rPr>
                <w:color w:val="000000"/>
                <w:rtl w:val="0"/>
              </w:rPr>
              <w:t xml:space="preserve">the cancellation or suspension of any financial indebtedness in respect of the Monitored Company</w:t>
            </w:r>
          </w:p>
          <w:p w:rsidR="00000000" w:rsidDel="00000000" w:rsidP="00000000" w:rsidRDefault="00000000" w:rsidRPr="00000000" w14:paraId="0000001F">
            <w:pPr>
              <w:numPr>
                <w:ilvl w:val="0"/>
                <w:numId w:val="3"/>
              </w:numPr>
              <w:pBdr>
                <w:top w:space="0" w:sz="0" w:val="nil"/>
                <w:left w:space="0" w:sz="0" w:val="nil"/>
                <w:bottom w:space="0" w:sz="0" w:val="nil"/>
                <w:right w:space="0" w:sz="0" w:val="nil"/>
                <w:between w:space="0" w:sz="0" w:val="nil"/>
              </w:pBdr>
              <w:tabs>
                <w:tab w:val="left" w:leader="none" w:pos="5"/>
              </w:tabs>
              <w:spacing w:before="120" w:lineRule="auto"/>
              <w:ind w:left="170" w:hanging="170"/>
              <w:rPr>
                <w:color w:val="000000"/>
              </w:rPr>
            </w:pPr>
            <w:r w:rsidDel="00000000" w:rsidR="00000000" w:rsidRPr="00000000">
              <w:rPr>
                <w:color w:val="000000"/>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before="120" w:lineRule="auto"/>
              <w:ind w:left="-108" w:firstLine="0"/>
              <w:rPr>
                <w:b w:val="1"/>
                <w:color w:val="000000"/>
              </w:rPr>
            </w:pPr>
            <w:r w:rsidDel="00000000" w:rsidR="00000000" w:rsidRPr="00000000">
              <w:rPr>
                <w:b w:val="1"/>
                <w:color w:val="000000"/>
                <w:rtl w:val="0"/>
              </w:rPr>
              <w:t xml:space="preserve">"Financial Distress Service Continuity Plan"</w:t>
            </w:r>
          </w:p>
        </w:tc>
        <w:tc>
          <w:tcPr>
            <w:shd w:fill="auto" w:val="clear"/>
          </w:tcPr>
          <w:p w:rsidR="00000000" w:rsidDel="00000000" w:rsidP="00000000" w:rsidRDefault="00000000" w:rsidRPr="00000000" w14:paraId="00000021">
            <w:pPr>
              <w:numPr>
                <w:ilvl w:val="0"/>
                <w:numId w:val="3"/>
              </w:numPr>
              <w:pBdr>
                <w:top w:space="0" w:sz="0" w:val="nil"/>
                <w:left w:space="0" w:sz="0" w:val="nil"/>
                <w:bottom w:space="0" w:sz="0" w:val="nil"/>
                <w:right w:space="0" w:sz="0" w:val="nil"/>
                <w:between w:space="0" w:sz="0" w:val="nil"/>
              </w:pBdr>
              <w:tabs>
                <w:tab w:val="left" w:leader="none" w:pos="5"/>
              </w:tabs>
              <w:spacing w:before="120" w:lineRule="auto"/>
              <w:ind w:left="170" w:hanging="170"/>
              <w:rPr>
                <w:color w:val="000000"/>
              </w:rPr>
            </w:pPr>
            <w:r w:rsidDel="00000000" w:rsidR="00000000" w:rsidRPr="00000000">
              <w:rPr>
                <w:color w:val="000000"/>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120" w:lineRule="auto"/>
              <w:ind w:left="-108" w:firstLine="0"/>
              <w:rPr>
                <w:b w:val="1"/>
                <w:color w:val="000000"/>
              </w:rPr>
            </w:pPr>
            <w:r w:rsidDel="00000000" w:rsidR="00000000" w:rsidRPr="00000000">
              <w:rPr>
                <w:b w:val="1"/>
                <w:color w:val="000000"/>
                <w:rtl w:val="0"/>
              </w:rPr>
              <w:t xml:space="preserve">“Monitored Company”</w:t>
            </w:r>
          </w:p>
        </w:tc>
        <w:tc>
          <w:tcPr>
            <w:shd w:fill="auto" w:val="clear"/>
          </w:tcPr>
          <w:p w:rsidR="00000000" w:rsidDel="00000000" w:rsidP="00000000" w:rsidRDefault="00000000" w:rsidRPr="00000000" w14:paraId="00000023">
            <w:pPr>
              <w:numPr>
                <w:ilvl w:val="0"/>
                <w:numId w:val="3"/>
              </w:numPr>
              <w:pBdr>
                <w:top w:space="0" w:sz="0" w:val="nil"/>
                <w:left w:space="0" w:sz="0" w:val="nil"/>
                <w:bottom w:space="0" w:sz="0" w:val="nil"/>
                <w:right w:space="0" w:sz="0" w:val="nil"/>
                <w:between w:space="0" w:sz="0" w:val="nil"/>
              </w:pBdr>
              <w:tabs>
                <w:tab w:val="left" w:leader="none" w:pos="5"/>
              </w:tabs>
              <w:spacing w:before="120" w:lineRule="auto"/>
              <w:ind w:left="170" w:hanging="170"/>
              <w:rPr>
                <w:color w:val="000000"/>
              </w:rPr>
            </w:pPr>
            <w:r w:rsidDel="00000000" w:rsidR="00000000" w:rsidRPr="00000000">
              <w:rPr>
                <w:color w:val="000000"/>
                <w:rtl w:val="0"/>
              </w:rPr>
              <w:t xml:space="preserve">the Supplier, any [Framework Guarantor or Call-Off Guarantor or any Key Subcontractor]</w:t>
            </w:r>
          </w:p>
        </w:tc>
      </w:tr>
      <w:tr>
        <w:trPr>
          <w:cantSplit w:val="0"/>
          <w:tblHeader w:val="0"/>
        </w:trPr>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120" w:lineRule="auto"/>
              <w:ind w:left="-108" w:firstLine="0"/>
              <w:rPr>
                <w:b w:val="1"/>
                <w:color w:val="000000"/>
              </w:rPr>
            </w:pPr>
            <w:r w:rsidDel="00000000" w:rsidR="00000000" w:rsidRPr="00000000">
              <w:rPr>
                <w:b w:val="1"/>
                <w:color w:val="000000"/>
                <w:rtl w:val="0"/>
              </w:rPr>
              <w:t xml:space="preserve">"Rating Agencies"</w:t>
            </w:r>
          </w:p>
        </w:tc>
        <w:tc>
          <w:tcPr>
            <w:shd w:fill="auto" w:val="clear"/>
          </w:tcPr>
          <w:p w:rsidR="00000000" w:rsidDel="00000000" w:rsidP="00000000" w:rsidRDefault="00000000" w:rsidRPr="00000000" w14:paraId="00000025">
            <w:pPr>
              <w:numPr>
                <w:ilvl w:val="0"/>
                <w:numId w:val="3"/>
              </w:numPr>
              <w:pBdr>
                <w:top w:space="0" w:sz="0" w:val="nil"/>
                <w:left w:space="0" w:sz="0" w:val="nil"/>
                <w:bottom w:space="0" w:sz="0" w:val="nil"/>
                <w:right w:space="0" w:sz="0" w:val="nil"/>
                <w:between w:space="0" w:sz="0" w:val="nil"/>
              </w:pBdr>
              <w:tabs>
                <w:tab w:val="left" w:leader="none" w:pos="5"/>
              </w:tabs>
              <w:spacing w:before="120" w:lineRule="auto"/>
              <w:ind w:left="170" w:hanging="170"/>
              <w:rPr>
                <w:color w:val="000000"/>
              </w:rPr>
            </w:pPr>
            <w:r w:rsidDel="00000000" w:rsidR="00000000" w:rsidRPr="00000000">
              <w:rPr>
                <w:color w:val="000000"/>
                <w:rtl w:val="0"/>
              </w:rPr>
              <w:t xml:space="preserve">the rating agencies listed in Annex 1.</w:t>
            </w:r>
          </w:p>
        </w:tc>
      </w:tr>
    </w:tbl>
    <w:p w:rsidR="00000000" w:rsidDel="00000000" w:rsidP="00000000" w:rsidRDefault="00000000" w:rsidRPr="00000000" w14:paraId="00000026">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rtl w:val="0"/>
        </w:rPr>
      </w:r>
    </w:p>
    <w:p w:rsidR="00000000" w:rsidDel="00000000" w:rsidP="00000000" w:rsidRDefault="00000000" w:rsidRPr="00000000" w14:paraId="00000027">
      <w:pPr>
        <w:pStyle w:val="Heading3"/>
        <w:numPr>
          <w:ilvl w:val="0"/>
          <w:numId w:val="1"/>
        </w:numPr>
        <w:spacing w:after="120" w:before="120" w:line="240" w:lineRule="auto"/>
        <w:ind w:left="567" w:hanging="567"/>
        <w:rPr/>
      </w:pPr>
      <w:bookmarkStart w:colFirst="0" w:colLast="0" w:name="_heading=h.26in1rg" w:id="2"/>
      <w:bookmarkEnd w:id="2"/>
      <w:r w:rsidDel="00000000" w:rsidR="00000000" w:rsidRPr="00000000">
        <w:rPr>
          <w:rtl w:val="0"/>
        </w:rPr>
        <w:t xml:space="preserve">When this Schedule applies</w:t>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Schedule shall apply to all Call-Off Contracts unless:</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where the Buyer has conducted a direct award from the Catalogue the Supplier has indicated in the relevant Service Offer that Joint Schedule 7 shall not apply; or</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where specified by a Buyer that has undertaken a Further Competition that this Schedule shall not apply.</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terms of this Schedule shall survive: </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under the Framework Contract until the later of (a) the termination or Expiry Date of the Framework Contract; or (b) the latest date of termination or Expiry Date of any Call-Off Contract entered into under the Framework Contract (which might be after the date of termination or Expiry Date of the Framework Contract); and</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under the Call-Off Contract until the termination or Expiry Date of the Call-Off Contract.</w:t>
      </w:r>
    </w:p>
    <w:p w:rsidR="00000000" w:rsidDel="00000000" w:rsidP="00000000" w:rsidRDefault="00000000" w:rsidRPr="00000000" w14:paraId="0000002F">
      <w:pPr>
        <w:pStyle w:val="Heading3"/>
        <w:numPr>
          <w:ilvl w:val="0"/>
          <w:numId w:val="1"/>
        </w:numPr>
        <w:spacing w:after="120" w:before="120" w:line="240" w:lineRule="auto"/>
        <w:ind w:left="567" w:hanging="567"/>
        <w:rPr/>
      </w:pPr>
      <w:bookmarkStart w:colFirst="0" w:colLast="0" w:name="_heading=h.lnxbz9" w:id="3"/>
      <w:bookmarkEnd w:id="3"/>
      <w:r w:rsidDel="00000000" w:rsidR="00000000" w:rsidRPr="00000000">
        <w:rPr>
          <w:rtl w:val="0"/>
        </w:rPr>
        <w:t xml:space="preserve">What happens when your credit rating changes</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If there is any downgrade credit rating issued by any Rating Agency for either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be as at the end of each Contract Year or such other date as may be requested by CCS.  For these purposes the "quick ratio" on any date means:</w:t>
      </w:r>
    </w:p>
    <w:p w:rsidR="00000000" w:rsidDel="00000000" w:rsidP="00000000" w:rsidRDefault="00000000" w:rsidRPr="00000000" w14:paraId="00000033">
      <w:pPr>
        <w:jc w:val="center"/>
        <w:rPr>
          <w:rFonts w:ascii="Cambria Math" w:cs="Cambria Math" w:eastAsia="Cambria Math" w:hAnsi="Cambria Math"/>
          <w:color w:val="000000"/>
        </w:rPr>
      </w:pPr>
      <m:oMath>
        <m:f>
          <m:fPr>
            <m:ctrlPr>
              <w:rPr>
                <w:rFonts w:ascii="Cambria Math" w:cs="Cambria Math" w:eastAsia="Cambria Math" w:hAnsi="Cambria Math"/>
                <w:color w:val="000000"/>
              </w:rPr>
            </m:ctrlPr>
          </m:fPr>
          <m:num>
            <m:r>
              <w:rPr>
                <w:rFonts w:ascii="Cambria Math" w:cs="Cambria Math" w:eastAsia="Cambria Math" w:hAnsi="Cambria Math"/>
                <w:color w:val="000000"/>
              </w:rPr>
              <m:t xml:space="preserve">A+B+C</m:t>
            </m:r>
          </m:num>
          <m:den>
            <m:r>
              <w:rPr>
                <w:rFonts w:ascii="Cambria Math" w:cs="Cambria Math" w:eastAsia="Cambria Math" w:hAnsi="Cambria Math"/>
                <w:color w:val="000000"/>
              </w:rPr>
              <m:t xml:space="preserve">D</m:t>
            </m:r>
          </m:den>
        </m:f>
        <m:r>
          <w:rPr>
            <w:rFonts w:ascii="Cambria Math" w:cs="Cambria Math" w:eastAsia="Cambria Math" w:hAnsi="Cambria Math"/>
            <w:color w:val="000000"/>
          </w:rPr>
          <m:t xml:space="preserve"> </m:t>
        </m:r>
      </m:oMath>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  where:</w:t>
      </w:r>
    </w:p>
    <w:tbl>
      <w:tblPr>
        <w:tblStyle w:val="Table2"/>
        <w:tblW w:w="8317.0" w:type="dxa"/>
        <w:jc w:val="left"/>
        <w:tblInd w:w="601.0" w:type="dxa"/>
        <w:tblLayout w:type="fixed"/>
        <w:tblLook w:val="0000"/>
      </w:tblPr>
      <w:tblGrid>
        <w:gridCol w:w="425"/>
        <w:gridCol w:w="7892"/>
        <w:tblGridChange w:id="0">
          <w:tblGrid>
            <w:gridCol w:w="425"/>
            <w:gridCol w:w="7892"/>
          </w:tblGrid>
        </w:tblGridChange>
      </w:tblGrid>
      <w:tr>
        <w:trPr>
          <w:cantSplit w:val="0"/>
          <w:tblHeader w:val="0"/>
        </w:trPr>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2268"/>
                <w:tab w:val="left" w:leader="none" w:pos="3402"/>
              </w:tabs>
              <w:spacing w:before="120" w:lineRule="auto"/>
              <w:rPr>
                <w:rFonts w:ascii="Calibri" w:cs="Calibri" w:eastAsia="Calibri" w:hAnsi="Calibri"/>
                <w:color w:val="000000"/>
              </w:rPr>
            </w:pPr>
            <w:r w:rsidDel="00000000" w:rsidR="00000000" w:rsidRPr="00000000">
              <w:rPr>
                <w:color w:val="000000"/>
                <w:rtl w:val="0"/>
              </w:rPr>
              <w:t xml:space="preserve">A</w:t>
            </w:r>
            <w:r w:rsidDel="00000000" w:rsidR="00000000" w:rsidRPr="00000000">
              <w:rPr>
                <w:rtl w:val="0"/>
              </w:rPr>
            </w:r>
          </w:p>
        </w:tc>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2268"/>
                <w:tab w:val="left" w:leader="none" w:pos="3402"/>
              </w:tabs>
              <w:spacing w:before="120" w:lineRule="auto"/>
              <w:rPr>
                <w:rFonts w:ascii="Calibri" w:cs="Calibri" w:eastAsia="Calibri" w:hAnsi="Calibri"/>
                <w:color w:val="000000"/>
              </w:rPr>
            </w:pPr>
            <w:r w:rsidDel="00000000" w:rsidR="00000000" w:rsidRPr="00000000">
              <w:rPr>
                <w:color w:val="000000"/>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2268"/>
                <w:tab w:val="left" w:leader="none" w:pos="3402"/>
              </w:tabs>
              <w:spacing w:before="120" w:lineRule="auto"/>
              <w:rPr>
                <w:color w:val="000000"/>
              </w:rPr>
            </w:pPr>
            <w:r w:rsidDel="00000000" w:rsidR="00000000" w:rsidRPr="00000000">
              <w:rPr>
                <w:color w:val="000000"/>
                <w:rtl w:val="0"/>
              </w:rPr>
              <w:t xml:space="preserve">B</w:t>
            </w:r>
          </w:p>
        </w:tc>
        <w:tc>
          <w:tcPr>
            <w:shd w:fill="auto"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2268"/>
                <w:tab w:val="left" w:leader="none" w:pos="3402"/>
              </w:tabs>
              <w:spacing w:before="120" w:lineRule="auto"/>
              <w:rPr>
                <w:rFonts w:ascii="Calibri" w:cs="Calibri" w:eastAsia="Calibri" w:hAnsi="Calibri"/>
                <w:color w:val="000000"/>
              </w:rPr>
            </w:pPr>
            <w:r w:rsidDel="00000000" w:rsidR="00000000" w:rsidRPr="00000000">
              <w:rPr>
                <w:color w:val="000000"/>
                <w:rtl w:val="0"/>
              </w:rPr>
              <w:t xml:space="preserve">is the value of all marketable securities held by </w:t>
            </w:r>
            <w:r w:rsidDel="00000000" w:rsidR="00000000" w:rsidRPr="00000000">
              <w:rPr>
                <w:b w:val="1"/>
                <w:color w:val="000000"/>
                <w:rtl w:val="0"/>
              </w:rPr>
              <w:t xml:space="preserve">the Monitored Company </w:t>
            </w:r>
            <w:r w:rsidDel="00000000" w:rsidR="00000000" w:rsidRPr="00000000">
              <w:rPr>
                <w:color w:val="000000"/>
                <w:rtl w:val="0"/>
              </w:rPr>
              <w:t xml:space="preserve">determined using closing prices on the Working Day preceding the relevant date;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268"/>
                <w:tab w:val="left" w:leader="none" w:pos="3402"/>
              </w:tabs>
              <w:spacing w:before="120" w:lineRule="auto"/>
              <w:rPr>
                <w:color w:val="000000"/>
              </w:rPr>
            </w:pPr>
            <w:r w:rsidDel="00000000" w:rsidR="00000000" w:rsidRPr="00000000">
              <w:rPr>
                <w:color w:val="000000"/>
                <w:rtl w:val="0"/>
              </w:rPr>
              <w:t xml:space="preserve">C</w:t>
            </w:r>
          </w:p>
        </w:tc>
        <w:tc>
          <w:tcPr>
            <w:shd w:fill="auto"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268"/>
                <w:tab w:val="left" w:leader="none" w:pos="3402"/>
              </w:tabs>
              <w:spacing w:before="120" w:lineRule="auto"/>
              <w:rPr>
                <w:color w:val="000000"/>
              </w:rPr>
            </w:pPr>
            <w:r w:rsidDel="00000000" w:rsidR="00000000" w:rsidRPr="00000000">
              <w:rPr>
                <w:color w:val="000000"/>
                <w:rtl w:val="0"/>
              </w:rPr>
              <w:t xml:space="preserve">is the value at the relevant date of all account receivables of the Monitored Company; and</w:t>
            </w:r>
          </w:p>
        </w:tc>
      </w:tr>
      <w:tr>
        <w:trPr>
          <w:cantSplit w:val="0"/>
          <w:tblHeader w:val="0"/>
        </w:trPr>
        <w:tc>
          <w:tcPr>
            <w:shd w:fill="auto" w:val="clear"/>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268"/>
                <w:tab w:val="left" w:leader="none" w:pos="3402"/>
              </w:tabs>
              <w:spacing w:before="120" w:lineRule="auto"/>
              <w:rPr>
                <w:color w:val="000000"/>
              </w:rPr>
            </w:pPr>
            <w:r w:rsidDel="00000000" w:rsidR="00000000" w:rsidRPr="00000000">
              <w:rPr>
                <w:color w:val="000000"/>
                <w:rtl w:val="0"/>
              </w:rPr>
              <w:t xml:space="preserve">D</w:t>
            </w:r>
          </w:p>
        </w:tc>
        <w:tc>
          <w:tcPr>
            <w:shd w:fill="auto"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268"/>
                <w:tab w:val="left" w:leader="none" w:pos="3402"/>
              </w:tabs>
              <w:spacing w:before="120" w:lineRule="auto"/>
              <w:rPr>
                <w:color w:val="000000"/>
              </w:rPr>
            </w:pPr>
            <w:r w:rsidDel="00000000" w:rsidR="00000000" w:rsidRPr="00000000">
              <w:rPr>
                <w:color w:val="000000"/>
                <w:rtl w:val="0"/>
              </w:rPr>
              <w:t xml:space="preserve">is the value at the relevant date of the current liabilities of the Monitored Company.</w:t>
            </w:r>
          </w:p>
        </w:tc>
      </w:tr>
    </w:tbl>
    <w:p w:rsidR="00000000" w:rsidDel="00000000" w:rsidP="00000000" w:rsidRDefault="00000000" w:rsidRPr="00000000" w14:paraId="0000003D">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Supplier shall: </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regularly monitor the credit ratings of each Monitored Company with the Rating Agencies; and </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For the purposes of determining whether a Financial Distress Event the credit rating of the Monitored Company (as the case may be)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42">
      <w:pPr>
        <w:pStyle w:val="Heading3"/>
        <w:numPr>
          <w:ilvl w:val="0"/>
          <w:numId w:val="1"/>
        </w:numPr>
        <w:spacing w:after="120" w:before="120" w:line="240" w:lineRule="auto"/>
        <w:ind w:left="567" w:hanging="567"/>
        <w:rPr/>
      </w:pPr>
      <w:bookmarkStart w:colFirst="0" w:colLast="0" w:name="_heading=h.35nkun2" w:id="4"/>
      <w:bookmarkEnd w:id="4"/>
      <w:r w:rsidDel="00000000" w:rsidR="00000000" w:rsidRPr="00000000">
        <w:rPr>
          <w:rtl w:val="0"/>
        </w:rPr>
        <w:t xml:space="preserve">What happens if there is a financial distress event</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rectify such late or non-payment; or </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demonstrate to CCS's reasonable satisfaction that there is a valid reason for late or non-payment.</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Supplier shall and shall procure that the other Monitored Companies shall:</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4A">
      <w:pPr>
        <w:numPr>
          <w:ilvl w:val="4"/>
          <w:numId w:val="3"/>
        </w:numPr>
        <w:pBdr>
          <w:top w:space="0" w:sz="0" w:val="nil"/>
          <w:left w:space="0" w:sz="0" w:val="nil"/>
          <w:bottom w:space="0" w:sz="0" w:val="nil"/>
          <w:right w:space="0" w:sz="0" w:val="nil"/>
          <w:between w:space="0" w:sz="0" w:val="nil"/>
        </w:pBdr>
        <w:spacing w:before="120" w:lineRule="auto"/>
        <w:ind w:left="2268" w:hanging="566"/>
        <w:rPr>
          <w:color w:val="000000"/>
        </w:rPr>
      </w:pPr>
      <w:r w:rsidDel="00000000" w:rsidR="00000000" w:rsidRPr="00000000">
        <w:rPr>
          <w:color w:val="000000"/>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4B">
      <w:pPr>
        <w:numPr>
          <w:ilvl w:val="4"/>
          <w:numId w:val="3"/>
        </w:numPr>
        <w:pBdr>
          <w:top w:space="0" w:sz="0" w:val="nil"/>
          <w:left w:space="0" w:sz="0" w:val="nil"/>
          <w:bottom w:space="0" w:sz="0" w:val="nil"/>
          <w:right w:space="0" w:sz="0" w:val="nil"/>
          <w:between w:space="0" w:sz="0" w:val="nil"/>
        </w:pBdr>
        <w:spacing w:before="120" w:lineRule="auto"/>
        <w:ind w:left="2268" w:hanging="566"/>
        <w:rPr>
          <w:color w:val="000000"/>
        </w:rPr>
      </w:pPr>
      <w:r w:rsidDel="00000000" w:rsidR="00000000" w:rsidRPr="00000000">
        <w:rPr>
          <w:color w:val="000000"/>
          <w:rtl w:val="0"/>
        </w:rPr>
        <w:t xml:space="preserve">provide such financial information relating to the Monitored Company as CCS may reasonably require.</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Following Approval of the Financial Distress Service Continuity Plan by CCS, the Supplier shall:</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comply with the Financial Distress Service Continuity Plan (including any updated Financial Distress Service Continuity Plan).</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CCS shall be able to share any information it receives from the Supplier in accordance with this Paragraph with any Buyer who has entered into a Call-Off Contract with the Supplier.</w:t>
      </w:r>
    </w:p>
    <w:p w:rsidR="00000000" w:rsidDel="00000000" w:rsidP="00000000" w:rsidRDefault="00000000" w:rsidRPr="00000000" w14:paraId="00000054">
      <w:pPr>
        <w:pStyle w:val="Heading3"/>
        <w:numPr>
          <w:ilvl w:val="0"/>
          <w:numId w:val="1"/>
        </w:numPr>
        <w:spacing w:after="120" w:before="120" w:line="240" w:lineRule="auto"/>
        <w:ind w:left="567" w:hanging="567"/>
        <w:rPr/>
      </w:pPr>
      <w:bookmarkStart w:colFirst="0" w:colLast="0" w:name="_heading=h.1ksv4uv" w:id="5"/>
      <w:bookmarkEnd w:id="5"/>
      <w:r w:rsidDel="00000000" w:rsidR="00000000" w:rsidRPr="00000000">
        <w:rPr>
          <w:rtl w:val="0"/>
        </w:rPr>
        <w:t xml:space="preserve">When can CCS or the Buyer terminate for financial distress </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the Supplier fails to notify CCS of a Financial Distress Event in accordance with Paragraph ‎3.4; and/or</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59">
      <w:pPr>
        <w:pStyle w:val="Heading3"/>
        <w:numPr>
          <w:ilvl w:val="0"/>
          <w:numId w:val="1"/>
        </w:numPr>
        <w:spacing w:after="120" w:before="120" w:line="240" w:lineRule="auto"/>
        <w:ind w:left="567" w:hanging="567"/>
        <w:rPr/>
      </w:pPr>
      <w:bookmarkStart w:colFirst="0" w:colLast="0" w:name="_heading=h.44sinio" w:id="6"/>
      <w:bookmarkEnd w:id="6"/>
      <w:r w:rsidDel="00000000" w:rsidR="00000000" w:rsidRPr="00000000">
        <w:rPr>
          <w:rtl w:val="0"/>
        </w:rPr>
        <w:t xml:space="preserve">What happens If your credit rating is still good</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Without prejudice to the Supplier’s obligations and CCS’ rights and remedies under Paragraph ‎4,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the Supplier shall be relieved automatically of its obligations under Paragraphs ‎4.3 to ‎4.6; and</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spacing w:before="120" w:lineRule="auto"/>
        <w:ind w:left="1985" w:hanging="851"/>
        <w:rPr>
          <w:color w:val="000000"/>
        </w:rPr>
      </w:pPr>
      <w:r w:rsidDel="00000000" w:rsidR="00000000" w:rsidRPr="00000000">
        <w:rPr>
          <w:color w:val="000000"/>
          <w:rtl w:val="0"/>
        </w:rPr>
        <w:t xml:space="preserve">CCS shall not be entitled to require the Supplier to provide financial information in accordance with Paragraph ‎4.3.2(b). </w:t>
      </w:r>
      <w:r w:rsidDel="00000000" w:rsidR="00000000" w:rsidRPr="00000000">
        <w:br w:type="page"/>
      </w:r>
      <w:r w:rsidDel="00000000" w:rsidR="00000000" w:rsidRPr="00000000">
        <w:rPr>
          <w:rtl w:val="0"/>
        </w:rPr>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before="120" w:lineRule="auto"/>
        <w:rPr>
          <w:color w:val="000000"/>
        </w:rPr>
      </w:pPr>
      <w:r w:rsidDel="00000000" w:rsidR="00000000" w:rsidRPr="00000000">
        <w:rPr>
          <w:rtl w:val="0"/>
        </w:rPr>
      </w:r>
    </w:p>
    <w:p w:rsidR="00000000" w:rsidDel="00000000" w:rsidP="00000000" w:rsidRDefault="00000000" w:rsidRPr="00000000" w14:paraId="0000005E">
      <w:pPr>
        <w:pStyle w:val="Heading2"/>
        <w:numPr>
          <w:ilvl w:val="1"/>
          <w:numId w:val="2"/>
        </w:numPr>
        <w:tabs>
          <w:tab w:val="left" w:leader="none" w:pos="0"/>
        </w:tabs>
        <w:spacing w:after="120" w:before="120" w:line="240" w:lineRule="auto"/>
        <w:ind w:left="0" w:firstLine="0"/>
        <w:rPr/>
      </w:pPr>
      <w:bookmarkStart w:colFirst="0" w:colLast="0" w:name="_heading=h.2jxsxqh" w:id="7"/>
      <w:bookmarkEnd w:id="7"/>
      <w:r w:rsidDel="00000000" w:rsidR="00000000" w:rsidRPr="00000000">
        <w:rPr>
          <w:rtl w:val="0"/>
        </w:rPr>
        <w:t xml:space="preserve">ANNEX 1: Rating Agencies</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Rating Agency 1:</w:t>
        <w:tab/>
        <w:t xml:space="preserve">Dun &amp; Bradstreet</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Rating Agency 2:</w:t>
        <w:tab/>
        <w:t xml:space="preserve">Experian</w:t>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before="120" w:lineRule="auto"/>
        <w:rPr>
          <w:color w:val="000000"/>
        </w:rPr>
      </w:pPr>
      <w:r w:rsidDel="00000000" w:rsidR="00000000" w:rsidRPr="00000000">
        <w:rPr>
          <w:rtl w:val="0"/>
        </w:rPr>
      </w:r>
    </w:p>
    <w:p w:rsidR="00000000" w:rsidDel="00000000" w:rsidP="00000000" w:rsidRDefault="00000000" w:rsidRPr="00000000" w14:paraId="00000062">
      <w:pPr>
        <w:pStyle w:val="Heading2"/>
        <w:numPr>
          <w:ilvl w:val="1"/>
          <w:numId w:val="2"/>
        </w:numPr>
        <w:tabs>
          <w:tab w:val="left" w:leader="none" w:pos="0"/>
        </w:tabs>
        <w:spacing w:after="120" w:before="120" w:line="240" w:lineRule="auto"/>
        <w:ind w:left="0" w:firstLine="0"/>
        <w:rPr/>
      </w:pPr>
      <w:bookmarkStart w:colFirst="0" w:colLast="0" w:name="_heading=h.z337ya" w:id="8"/>
      <w:bookmarkEnd w:id="8"/>
      <w:r w:rsidDel="00000000" w:rsidR="00000000" w:rsidRPr="00000000">
        <w:rPr>
          <w:rtl w:val="0"/>
        </w:rPr>
        <w:t xml:space="preserve">ANNEX 2: Credit Ratings &amp; Credit Rating Thresholds</w:t>
      </w:r>
    </w:p>
    <w:p w:rsidR="00000000" w:rsidDel="00000000" w:rsidP="00000000" w:rsidRDefault="00000000" w:rsidRPr="00000000" w14:paraId="00000063">
      <w:pPr>
        <w:pStyle w:val="Heading3"/>
        <w:numPr>
          <w:ilvl w:val="2"/>
          <w:numId w:val="2"/>
        </w:numPr>
        <w:tabs>
          <w:tab w:val="left" w:leader="none" w:pos="0"/>
        </w:tabs>
        <w:spacing w:after="120" w:before="120" w:line="240" w:lineRule="auto"/>
        <w:ind w:left="0" w:firstLine="0"/>
        <w:rPr/>
      </w:pPr>
      <w:bookmarkStart w:colFirst="0" w:colLast="0" w:name="_heading=h.3j2qqm3" w:id="9"/>
      <w:bookmarkEnd w:id="9"/>
      <w:r w:rsidDel="00000000" w:rsidR="00000000" w:rsidRPr="00000000">
        <w:rPr>
          <w:rtl w:val="0"/>
        </w:rPr>
        <w:t xml:space="preserve">Part 1: Current Rating</w:t>
      </w:r>
    </w:p>
    <w:tbl>
      <w:tblPr>
        <w:tblStyle w:val="Table3"/>
        <w:tblW w:w="9016.0" w:type="dxa"/>
        <w:jc w:val="left"/>
        <w:tblInd w:w="-103.0" w:type="dxa"/>
        <w:tblBorders>
          <w:top w:color="000000" w:space="0" w:sz="4" w:val="single"/>
          <w:left w:color="000000" w:space="0" w:sz="4" w:val="single"/>
          <w:bottom w:color="000000" w:space="0" w:sz="6" w:val="single"/>
          <w:right w:color="000000" w:space="0" w:sz="6" w:val="single"/>
          <w:insideH w:color="000000" w:space="0" w:sz="6" w:val="single"/>
          <w:insideV w:color="000000" w:space="0" w:sz="6" w:val="single"/>
        </w:tblBorders>
        <w:tblLayout w:type="fixed"/>
        <w:tblLook w:val="0000"/>
      </w:tblPr>
      <w:tblGrid>
        <w:gridCol w:w="3033"/>
        <w:gridCol w:w="3017"/>
        <w:gridCol w:w="2966"/>
        <w:tblGridChange w:id="0">
          <w:tblGrid>
            <w:gridCol w:w="3033"/>
            <w:gridCol w:w="3017"/>
            <w:gridCol w:w="2966"/>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064">
            <w:pPr>
              <w:keepNext w:val="1"/>
              <w:pBdr>
                <w:top w:space="0" w:sz="0" w:val="nil"/>
                <w:left w:space="0" w:sz="0" w:val="nil"/>
                <w:bottom w:space="0" w:sz="0" w:val="nil"/>
                <w:right w:space="0" w:sz="0" w:val="nil"/>
                <w:between w:space="0" w:sz="0" w:val="nil"/>
              </w:pBdr>
              <w:spacing w:before="120" w:lineRule="auto"/>
              <w:ind w:left="142" w:firstLine="0"/>
              <w:rPr>
                <w:b w:val="1"/>
                <w:color w:val="000000"/>
              </w:rPr>
            </w:pPr>
            <w:r w:rsidDel="00000000" w:rsidR="00000000" w:rsidRPr="00000000">
              <w:rPr>
                <w:b w:val="1"/>
                <w:color w:val="000000"/>
                <w:rtl w:val="0"/>
              </w:rPr>
              <w:t xml:space="preserve">Entity</w:t>
            </w:r>
          </w:p>
        </w:tc>
        <w:tc>
          <w:tcPr>
            <w:tcBorders>
              <w:top w:color="000000" w:space="0" w:sz="4"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65">
            <w:pPr>
              <w:keepNext w:val="1"/>
              <w:pBdr>
                <w:top w:space="0" w:sz="0" w:val="nil"/>
                <w:left w:space="0" w:sz="0" w:val="nil"/>
                <w:bottom w:space="0" w:sz="0" w:val="nil"/>
                <w:right w:space="0" w:sz="0" w:val="nil"/>
                <w:between w:space="0" w:sz="0" w:val="nil"/>
              </w:pBdr>
              <w:spacing w:before="120" w:lineRule="auto"/>
              <w:ind w:left="142" w:firstLine="0"/>
              <w:rPr>
                <w:b w:val="1"/>
                <w:color w:val="000000"/>
              </w:rPr>
            </w:pPr>
            <w:r w:rsidDel="00000000" w:rsidR="00000000" w:rsidRPr="00000000">
              <w:rPr>
                <w:b w:val="1"/>
                <w:color w:val="000000"/>
                <w:rtl w:val="0"/>
              </w:rPr>
              <w:t xml:space="preserve">Credit rating (long term)</w:t>
            </w:r>
          </w:p>
        </w:tc>
        <w:tc>
          <w:tcPr>
            <w:tcBorders>
              <w:top w:color="000000" w:space="0" w:sz="4"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spacing w:before="120" w:lineRule="auto"/>
              <w:ind w:left="142" w:firstLine="0"/>
              <w:rPr>
                <w:b w:val="1"/>
                <w:color w:val="000000"/>
              </w:rPr>
            </w:pPr>
            <w:r w:rsidDel="00000000" w:rsidR="00000000" w:rsidRPr="00000000">
              <w:rPr>
                <w:b w:val="1"/>
                <w:color w:val="000000"/>
                <w:rtl w:val="0"/>
              </w:rPr>
              <w:t xml:space="preserve">Credit Rating Threshold</w:t>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before="120" w:lineRule="auto"/>
              <w:ind w:left="142" w:firstLine="0"/>
              <w:rPr>
                <w:color w:val="000000"/>
              </w:rPr>
            </w:pPr>
            <w:r w:rsidDel="00000000" w:rsidR="00000000" w:rsidRPr="00000000">
              <w:rPr>
                <w:color w:val="000000"/>
                <w:rtl w:val="0"/>
              </w:rPr>
              <w:t xml:space="preserve">Supplier - BT plc</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before="120" w:lineRule="auto"/>
              <w:ind w:left="142" w:firstLine="0"/>
              <w:rPr>
                <w:color w:val="000000"/>
              </w:rPr>
            </w:pPr>
            <w:r w:rsidDel="00000000" w:rsidR="00000000" w:rsidRPr="00000000">
              <w:rPr>
                <w:color w:val="000000"/>
                <w:rtl w:val="0"/>
              </w:rPr>
              <w:t xml:space="preserve">[to be populated with the Supplier’s D&amp;B and Experian ratings at the point of award]]</w:t>
            </w:r>
          </w:p>
        </w:tc>
        <w:tc>
          <w:tcPr>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before="120" w:lineRule="auto"/>
              <w:ind w:left="142" w:firstLine="0"/>
              <w:rPr>
                <w:color w:val="000000"/>
                <w:highlight w:val="yellow"/>
              </w:rPr>
            </w:pPr>
            <w:r w:rsidDel="00000000" w:rsidR="00000000" w:rsidRPr="00000000">
              <w:rPr>
                <w:color w:val="000000"/>
                <w:highlight w:val="yellow"/>
                <w:rtl w:val="0"/>
              </w:rPr>
              <w:t xml:space="preserve">D&amp;B Risk Indicator 2 – Lower than average risk</w:t>
            </w:r>
          </w:p>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before="120" w:lineRule="auto"/>
              <w:ind w:left="142" w:firstLine="0"/>
              <w:rPr>
                <w:color w:val="000000"/>
                <w:highlight w:val="yellow"/>
              </w:rPr>
            </w:pPr>
            <w:r w:rsidDel="00000000" w:rsidR="00000000" w:rsidRPr="00000000">
              <w:rPr>
                <w:color w:val="000000"/>
                <w:highlight w:val="yellow"/>
                <w:rtl w:val="0"/>
              </w:rPr>
              <w:t xml:space="preserve">Experian - Fair</w:t>
            </w:r>
          </w:p>
        </w:tc>
      </w:tr>
      <w:tr>
        <w:trPr>
          <w:cantSplit w:val="0"/>
          <w:tblHeader w:val="0"/>
        </w:trPr>
        <w:tc>
          <w:tcPr>
            <w:tcBorders>
              <w:top w:color="000000" w:space="0" w:sz="6" w:val="single"/>
              <w:left w:color="000000" w:space="0" w:sz="4" w:val="single"/>
              <w:bottom w:color="000000" w:space="0" w:sz="4" w:val="single"/>
              <w:right w:color="000000" w:space="0" w:sz="6" w:val="single"/>
            </w:tcBorders>
            <w:shd w:fill="ffffff" w:val="clear"/>
          </w:tcPr>
          <w:p w:rsidR="00000000" w:rsidDel="00000000" w:rsidP="00000000" w:rsidRDefault="00000000" w:rsidRPr="00000000" w14:paraId="0000006B">
            <w:pPr>
              <w:keepNext w:val="1"/>
              <w:pBdr>
                <w:top w:space="0" w:sz="0" w:val="nil"/>
                <w:left w:space="0" w:sz="0" w:val="nil"/>
                <w:bottom w:space="0" w:sz="0" w:val="nil"/>
                <w:right w:space="0" w:sz="0" w:val="nil"/>
                <w:between w:space="0" w:sz="0" w:val="nil"/>
              </w:pBdr>
              <w:spacing w:before="120" w:lineRule="auto"/>
              <w:ind w:left="142" w:firstLine="0"/>
              <w:rPr>
                <w:color w:val="000000"/>
                <w:sz w:val="18"/>
                <w:szCs w:val="18"/>
              </w:rPr>
            </w:pPr>
            <w:r w:rsidDel="00000000" w:rsidR="00000000" w:rsidRPr="00000000">
              <w:rPr>
                <w:color w:val="000000"/>
                <w:rtl w:val="0"/>
              </w:rPr>
              <w:t xml:space="preserve">Key Subcontractor – Call-</w:t>
            </w:r>
            <w:r w:rsidDel="00000000" w:rsidR="00000000" w:rsidRPr="00000000">
              <w:rPr>
                <w:rtl w:val="0"/>
              </w:rPr>
              <w:t xml:space="preserve">Off - </w:t>
            </w:r>
            <w:r w:rsidDel="00000000" w:rsidR="00000000" w:rsidRPr="00000000">
              <w:rPr>
                <w:sz w:val="23"/>
                <w:szCs w:val="23"/>
                <w:highlight w:val="white"/>
                <w:rtl w:val="0"/>
              </w:rPr>
              <w:t xml:space="preserve">ITI Network Services</w:t>
            </w:r>
            <w:r w:rsidDel="00000000" w:rsidR="00000000" w:rsidRPr="00000000">
              <w:rPr>
                <w:b w:val="1"/>
                <w:color w:val="000000"/>
                <w:rtl w:val="0"/>
              </w:rPr>
              <w:br w:type="textWrapping"/>
            </w:r>
            <w:r w:rsidDel="00000000" w:rsidR="00000000" w:rsidRPr="00000000">
              <w:rPr>
                <w:rtl w:val="0"/>
              </w:rPr>
            </w:r>
          </w:p>
        </w:tc>
        <w:tc>
          <w:tcPr>
            <w:tcBorders>
              <w:top w:color="000000" w:space="0" w:sz="6" w:val="single"/>
              <w:left w:color="000000" w:space="0" w:sz="6" w:val="single"/>
              <w:bottom w:color="000000" w:space="0" w:sz="4" w:val="single"/>
              <w:right w:color="000000" w:space="0" w:sz="6" w:val="single"/>
            </w:tcBorders>
            <w:shd w:fill="ffffff" w:val="clear"/>
          </w:tcPr>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before="120" w:lineRule="auto"/>
              <w:ind w:left="142" w:firstLine="0"/>
              <w:rPr>
                <w:color w:val="000000"/>
              </w:rPr>
            </w:pPr>
            <w:r w:rsidDel="00000000" w:rsidR="00000000" w:rsidRPr="00000000">
              <w:rPr>
                <w:color w:val="000000"/>
                <w:rtl w:val="0"/>
              </w:rPr>
              <w:t xml:space="preserve">[to be populated with the Key Subcontractor’s D&amp;B and Experian ratings at the point of Call-Off award]</w:t>
            </w:r>
          </w:p>
          <w:p w:rsidR="00000000" w:rsidDel="00000000" w:rsidP="00000000" w:rsidRDefault="00000000" w:rsidRPr="00000000" w14:paraId="0000006D">
            <w:pPr>
              <w:keepNext w:val="1"/>
              <w:spacing w:before="120" w:lineRule="auto"/>
              <w:ind w:left="142" w:firstLine="0"/>
              <w:rPr>
                <w:b w:val="1"/>
              </w:rPr>
            </w:pPr>
            <w:r w:rsidDel="00000000" w:rsidR="00000000" w:rsidRPr="00000000">
              <w:rPr>
                <w:b w:val="1"/>
                <w:rtl w:val="0"/>
              </w:rPr>
              <w:t xml:space="preserve">To be completed at Kick-Off Meeting post Contract Award</w:t>
            </w:r>
          </w:p>
        </w:tc>
        <w:tc>
          <w:tcPr>
            <w:tcBorders>
              <w:top w:color="000000" w:space="0" w:sz="6" w:val="single"/>
              <w:left w:color="000000" w:space="0" w:sz="6" w:val="single"/>
              <w:bottom w:color="000000" w:space="0" w:sz="4" w:val="single"/>
              <w:right w:color="000000" w:space="0" w:sz="4" w:val="single"/>
            </w:tcBorders>
            <w:shd w:fill="ffffff" w:val="clear"/>
          </w:tcPr>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spacing w:before="120" w:lineRule="auto"/>
              <w:ind w:left="142" w:firstLine="0"/>
              <w:rPr>
                <w:color w:val="000000"/>
                <w:highlight w:val="yellow"/>
              </w:rPr>
            </w:pPr>
            <w:r w:rsidDel="00000000" w:rsidR="00000000" w:rsidRPr="00000000">
              <w:rPr>
                <w:color w:val="000000"/>
                <w:highlight w:val="yellow"/>
                <w:rtl w:val="0"/>
              </w:rPr>
              <w:t xml:space="preserve">D&amp;B Risk Indicator 2 – Lower than average risk</w:t>
            </w:r>
          </w:p>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spacing w:before="120" w:lineRule="auto"/>
              <w:ind w:left="142" w:firstLine="0"/>
              <w:rPr>
                <w:b w:val="1"/>
                <w:highlight w:val="yellow"/>
              </w:rPr>
            </w:pPr>
            <w:r w:rsidDel="00000000" w:rsidR="00000000" w:rsidRPr="00000000">
              <w:rPr>
                <w:color w:val="000000"/>
                <w:highlight w:val="yellow"/>
                <w:rtl w:val="0"/>
              </w:rPr>
              <w:t xml:space="preserve">Experian - Fair</w:t>
            </w:r>
            <w:r w:rsidDel="00000000" w:rsidR="00000000" w:rsidRPr="00000000">
              <w:rPr>
                <w:rtl w:val="0"/>
              </w:rPr>
            </w:r>
          </w:p>
        </w:tc>
      </w:tr>
    </w:tbl>
    <w:p w:rsidR="00000000" w:rsidDel="00000000" w:rsidP="00000000" w:rsidRDefault="00000000" w:rsidRPr="00000000" w14:paraId="00000070">
      <w:pPr>
        <w:spacing w:before="120" w:lineRule="auto"/>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Cambria Math">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Framework Ref: RM3808</w:t>
      <w:tab/>
      <w:t xml:space="preserve">                                           </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sz w:val="20"/>
        <w:szCs w:val="20"/>
        <w:rtl w:val="0"/>
      </w:rPr>
      <w:t xml:space="preserve">Project Version: v1.0</w:t>
      <w:tab/>
      <w:tab/>
      <w:t xml:space="preserve"> </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color w:val="00000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tabs>
        <w:tab w:val="center" w:leader="none" w:pos="4513"/>
        <w:tab w:val="right" w:leader="none" w:pos="9026"/>
      </w:tabs>
      <w:spacing w:after="0" w:lineRule="auto"/>
      <w:rPr>
        <w:sz w:val="20"/>
        <w:szCs w:val="20"/>
      </w:rPr>
    </w:pPr>
    <w:r w:rsidDel="00000000" w:rsidR="00000000" w:rsidRPr="00000000">
      <w:rPr>
        <w:sz w:val="20"/>
        <w:szCs w:val="20"/>
        <w:rtl w:val="0"/>
      </w:rPr>
      <w:t xml:space="preserve">Call Off Ref: CCNE23A03                                                                                 Framework Ref: RM3808</w:t>
    </w:r>
  </w:p>
  <w:p w:rsidR="00000000" w:rsidDel="00000000" w:rsidP="00000000" w:rsidRDefault="00000000" w:rsidRPr="00000000" w14:paraId="00000079">
    <w:pPr>
      <w:tabs>
        <w:tab w:val="center" w:leader="none" w:pos="4513"/>
        <w:tab w:val="right" w:leader="none" w:pos="9026"/>
      </w:tabs>
      <w:spacing w:after="0" w:lineRule="auto"/>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A">
    <w:pPr>
      <w:spacing w:after="0" w:lineRule="auto"/>
      <w:rPr>
        <w:color w:val="000000"/>
      </w:rPr>
    </w:pPr>
    <w:r w:rsidDel="00000000" w:rsidR="00000000" w:rsidRPr="00000000">
      <w:rPr>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numPr>
        <w:ilvl w:val="1"/>
        <w:numId w:val="2"/>
      </w:numPr>
      <w:ind w:left="0" w:firstLine="0"/>
      <w:rPr/>
    </w:pPr>
    <w:r w:rsidDel="00000000" w:rsidR="00000000" w:rsidRPr="00000000">
      <w:rPr>
        <w:b w:val="1"/>
        <w:rtl w:val="0"/>
      </w:rPr>
      <w:t xml:space="preserve">CCNE23A03 Joint Schedule 1 (Definitions)</w:t>
    </w:r>
    <w:r w:rsidDel="00000000" w:rsidR="00000000" w:rsidRPr="00000000">
      <w:rPr>
        <w:rtl w:val="0"/>
      </w:rPr>
    </w:r>
  </w:p>
  <w:p w:rsidR="00000000" w:rsidDel="00000000" w:rsidP="00000000" w:rsidRDefault="00000000" w:rsidRPr="00000000" w14:paraId="00000072">
    <w:pPr>
      <w:numPr>
        <w:ilvl w:val="1"/>
        <w:numId w:val="2"/>
      </w:numPr>
      <w:tabs>
        <w:tab w:val="center" w:leader="none" w:pos="4513"/>
        <w:tab w:val="right" w:leader="none" w:pos="9026"/>
      </w:tabs>
      <w:spacing w:after="0" w:lineRule="auto"/>
      <w:ind w:left="0" w:firstLine="0"/>
      <w:rPr/>
    </w:pPr>
    <w:r w:rsidDel="00000000" w:rsidR="00000000" w:rsidRPr="00000000">
      <w:rPr>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rPr>
        <w:b w:val="1"/>
      </w:rPr>
    </w:pPr>
    <w:r w:rsidDel="00000000" w:rsidR="00000000" w:rsidRPr="00000000">
      <w:rPr>
        <w:b w:val="1"/>
        <w:rtl w:val="0"/>
      </w:rPr>
      <w:t xml:space="preserve">CCNE23A03 Joint Schedule 7 (Financial Difficulties)</w:t>
    </w:r>
  </w:p>
  <w:p w:rsidR="00000000" w:rsidDel="00000000" w:rsidP="00000000" w:rsidRDefault="00000000" w:rsidRPr="00000000" w14:paraId="00000074">
    <w:pPr>
      <w:tabs>
        <w:tab w:val="center" w:leader="none" w:pos="4513"/>
        <w:tab w:val="right" w:leader="none" w:pos="9026"/>
      </w:tabs>
      <w:spacing w:after="0" w:lineRule="auto"/>
      <w:rPr>
        <w:b w:val="1"/>
      </w:rPr>
    </w:pPr>
    <w:r w:rsidDel="00000000" w:rsidR="00000000" w:rsidRPr="00000000">
      <w:rPr>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720"/>
      </w:pPr>
      <w:rPr/>
    </w:lvl>
    <w:lvl w:ilvl="1">
      <w:start w:val="1"/>
      <w:numFmt w:val="decimal"/>
      <w:lvlText w:val="%1.%2"/>
      <w:lvlJc w:val="left"/>
      <w:pPr>
        <w:ind w:left="1080" w:hanging="72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decimal"/>
      <w:lvlText w:val=""/>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sz w:val="22"/>
        <w:szCs w:val="22"/>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40" w:before="240" w:lineRule="auto"/>
    </w:pPr>
    <w:rPr>
      <w:b w:val="1"/>
      <w:color w:val="000000"/>
      <w:sz w:val="36"/>
      <w:szCs w:val="36"/>
    </w:rPr>
  </w:style>
  <w:style w:type="paragraph" w:styleId="Heading2">
    <w:name w:val="heading 2"/>
    <w:basedOn w:val="Normal"/>
    <w:next w:val="Normal"/>
    <w:pPr>
      <w:keepNext w:val="1"/>
      <w:keepLines w:val="1"/>
      <w:widowControl w:val="0"/>
      <w:pBdr>
        <w:top w:space="0" w:sz="0" w:val="nil"/>
        <w:left w:space="0" w:sz="0" w:val="nil"/>
        <w:bottom w:space="0" w:sz="0" w:val="nil"/>
        <w:right w:space="0" w:sz="0" w:val="nil"/>
        <w:between w:space="0" w:sz="0" w:val="nil"/>
      </w:pBdr>
      <w:spacing w:after="0" w:before="240" w:line="360" w:lineRule="auto"/>
    </w:pPr>
    <w:rPr>
      <w:b w:val="1"/>
      <w:color w:val="000000"/>
      <w:sz w:val="28"/>
      <w:szCs w:val="28"/>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40" w:line="360" w:lineRule="auto"/>
    </w:pPr>
    <w:rPr>
      <w:b w:val="1"/>
      <w:color w:val="000000"/>
      <w:sz w:val="24"/>
      <w:szCs w:val="24"/>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80" w:before="120" w:line="360" w:lineRule="auto"/>
    </w:pPr>
    <w:rPr>
      <w:b w:val="1"/>
      <w:color w:val="000000"/>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2e74b5"/>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1f4d78"/>
    </w:rPr>
  </w:style>
  <w:style w:type="paragraph" w:styleId="Title">
    <w:name w:val="Title"/>
    <w:basedOn w:val="Normal"/>
    <w:next w:val="Normal"/>
    <w:pPr>
      <w:pBdr>
        <w:top w:space="0" w:sz="0" w:val="nil"/>
        <w:left w:space="0" w:sz="0" w:val="nil"/>
        <w:bottom w:space="0" w:sz="0" w:val="nil"/>
        <w:right w:space="0" w:sz="0" w:val="nil"/>
        <w:between w:space="0" w:sz="0" w:val="nil"/>
      </w:pBdr>
      <w:spacing w:after="240" w:before="360" w:line="480" w:lineRule="auto"/>
      <w:ind w:left="431" w:hanging="431"/>
    </w:pPr>
    <w:rPr>
      <w:b w:val="1"/>
      <w:color w:val="000000"/>
      <w:sz w:val="36"/>
      <w:szCs w:val="36"/>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after="240" w:before="240"/>
      <w:outlineLvl w:val="0"/>
    </w:pPr>
    <w:rPr>
      <w:b w:val="1"/>
      <w:color w:val="000000"/>
      <w:sz w:val="36"/>
      <w:szCs w:val="36"/>
    </w:rPr>
  </w:style>
  <w:style w:type="paragraph" w:styleId="Heading2">
    <w:name w:val="heading 2"/>
    <w:basedOn w:val="Normal"/>
    <w:next w:val="Normal"/>
    <w:uiPriority w:val="9"/>
    <w:unhideWhenUsed w:val="1"/>
    <w:qFormat w:val="1"/>
    <w:pPr>
      <w:keepNext w:val="1"/>
      <w:keepLines w:val="1"/>
      <w:widowControl w:val="0"/>
      <w:pBdr>
        <w:top w:space="0" w:sz="0" w:val="nil"/>
        <w:left w:space="0" w:sz="0" w:val="nil"/>
        <w:bottom w:space="0" w:sz="0" w:val="nil"/>
        <w:right w:space="0" w:sz="0" w:val="nil"/>
        <w:between w:space="0" w:sz="0" w:val="nil"/>
      </w:pBdr>
      <w:spacing w:after="0" w:before="240" w:line="360" w:lineRule="auto"/>
      <w:outlineLvl w:val="1"/>
    </w:pPr>
    <w:rPr>
      <w:b w:val="1"/>
      <w:color w:val="000000"/>
      <w:sz w:val="28"/>
      <w:szCs w:val="28"/>
    </w:rPr>
  </w:style>
  <w:style w:type="paragraph" w:styleId="Heading3">
    <w:name w:val="heading 3"/>
    <w:basedOn w:val="Normal"/>
    <w:next w:val="Normal"/>
    <w:uiPriority w:val="9"/>
    <w:unhideWhenUsed w:val="1"/>
    <w:qFormat w:val="1"/>
    <w:pPr>
      <w:keepNext w:val="1"/>
      <w:keepLines w:val="1"/>
      <w:pBdr>
        <w:top w:space="0" w:sz="0" w:val="nil"/>
        <w:left w:space="0" w:sz="0" w:val="nil"/>
        <w:bottom w:space="0" w:sz="0" w:val="nil"/>
        <w:right w:space="0" w:sz="0" w:val="nil"/>
        <w:between w:space="0" w:sz="0" w:val="nil"/>
      </w:pBdr>
      <w:spacing w:after="0" w:before="40" w:line="360" w:lineRule="auto"/>
      <w:outlineLvl w:val="2"/>
    </w:pPr>
    <w:rPr>
      <w:b w:val="1"/>
      <w:color w:val="000000"/>
      <w:sz w:val="24"/>
      <w:szCs w:val="24"/>
    </w:rPr>
  </w:style>
  <w:style w:type="paragraph" w:styleId="Heading4">
    <w:name w:val="heading 4"/>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120" w:line="360" w:lineRule="auto"/>
      <w:outlineLvl w:val="3"/>
    </w:pPr>
    <w:rPr>
      <w:b w:val="1"/>
      <w:color w:val="000000"/>
    </w:rPr>
  </w:style>
  <w:style w:type="paragraph" w:styleId="Heading5">
    <w:name w:val="heading 5"/>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40"/>
      <w:outlineLvl w:val="4"/>
    </w:pPr>
    <w:rPr>
      <w:rFonts w:ascii="Calibri" w:cs="Calibri" w:eastAsia="Calibri" w:hAnsi="Calibri"/>
      <w:color w:val="2e74b5"/>
    </w:rPr>
  </w:style>
  <w:style w:type="paragraph" w:styleId="Heading6">
    <w:name w:val="heading 6"/>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40"/>
      <w:outlineLvl w:val="5"/>
    </w:pPr>
    <w:rPr>
      <w:rFonts w:ascii="Calibri" w:cs="Calibri" w:eastAsia="Calibri" w:hAnsi="Calibri"/>
      <w:color w:val="1f4d7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pBdr>
        <w:top w:space="0" w:sz="0" w:val="nil"/>
        <w:left w:space="0" w:sz="0" w:val="nil"/>
        <w:bottom w:space="0" w:sz="0" w:val="nil"/>
        <w:right w:space="0" w:sz="0" w:val="nil"/>
        <w:between w:space="0" w:sz="0" w:val="nil"/>
      </w:pBdr>
      <w:spacing w:after="240" w:before="360" w:line="480" w:lineRule="auto"/>
      <w:ind w:left="431" w:hanging="431"/>
    </w:pPr>
    <w:rPr>
      <w:b w:val="1"/>
      <w:color w:val="000000"/>
      <w:sz w:val="36"/>
      <w:szCs w:val="36"/>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03.0" w:type="dxa"/>
      </w:tblCellMar>
    </w:tblPr>
  </w:style>
  <w:style w:type="table" w:styleId="a2" w:customStyle="1">
    <w:basedOn w:val="TableNormal"/>
    <w:tblPr>
      <w:tblStyleRowBandSize w:val="1"/>
      <w:tblStyleColBandSize w:val="1"/>
      <w:tblCellMar>
        <w:left w:w="103.0" w:type="dxa"/>
      </w:tblCellMar>
    </w:tblPr>
  </w:style>
  <w:style w:type="table" w:styleId="a3" w:customStyle="1">
    <w:basedOn w:val="TableNormal"/>
    <w:tblPr>
      <w:tblStyleRowBandSize w:val="1"/>
      <w:tblStyleColBandSize w:val="1"/>
      <w:tblCellMar>
        <w:left w:w="103.0" w:type="dxa"/>
      </w:tblCellMar>
    </w:tblPr>
  </w:style>
  <w:style w:type="table" w:styleId="a4" w:customStyle="1">
    <w:basedOn w:val="TableNormal"/>
    <w:tblPr>
      <w:tblStyleRowBandSize w:val="1"/>
      <w:tblStyleColBandSize w:val="1"/>
      <w:tblCellMar>
        <w:left w:w="103.0" w:type="dxa"/>
      </w:tblCellMar>
    </w:tblPr>
  </w:style>
  <w:style w:type="paragraph" w:styleId="TOC1">
    <w:name w:val="toc 1"/>
    <w:basedOn w:val="Normal"/>
    <w:next w:val="Normal"/>
    <w:autoRedefine w:val="1"/>
    <w:uiPriority w:val="39"/>
    <w:unhideWhenUsed w:val="1"/>
    <w:rsid w:val="00163B8A"/>
    <w:pPr>
      <w:spacing w:after="100"/>
    </w:pPr>
  </w:style>
  <w:style w:type="paragraph" w:styleId="TOC3">
    <w:name w:val="toc 3"/>
    <w:basedOn w:val="Normal"/>
    <w:next w:val="Normal"/>
    <w:autoRedefine w:val="1"/>
    <w:uiPriority w:val="39"/>
    <w:unhideWhenUsed w:val="1"/>
    <w:rsid w:val="00163B8A"/>
    <w:pPr>
      <w:spacing w:after="100"/>
      <w:ind w:left="440"/>
    </w:pPr>
  </w:style>
  <w:style w:type="paragraph" w:styleId="TOC2">
    <w:name w:val="toc 2"/>
    <w:basedOn w:val="Normal"/>
    <w:next w:val="Normal"/>
    <w:autoRedefine w:val="1"/>
    <w:uiPriority w:val="39"/>
    <w:unhideWhenUsed w:val="1"/>
    <w:rsid w:val="00163B8A"/>
    <w:pPr>
      <w:spacing w:after="100"/>
      <w:ind w:left="220"/>
    </w:pPr>
  </w:style>
  <w:style w:type="character" w:styleId="Hyperlink">
    <w:name w:val="Hyperlink"/>
    <w:basedOn w:val="DefaultParagraphFont"/>
    <w:uiPriority w:val="99"/>
    <w:unhideWhenUsed w:val="1"/>
    <w:rsid w:val="00163B8A"/>
    <w:rPr>
      <w:color w:val="0000ff" w:themeColor="hyperlink"/>
      <w:u w:val="single"/>
    </w:rPr>
  </w:style>
  <w:style w:type="table" w:styleId="a5" w:customStyle="1">
    <w:basedOn w:val="TableNormal"/>
    <w:tblPr>
      <w:tblStyleRowBandSize w:val="1"/>
      <w:tblStyleColBandSize w:val="1"/>
      <w:tblCellMar>
        <w:left w:w="103.0" w:type="dxa"/>
      </w:tblCellMar>
    </w:tblPr>
  </w:style>
  <w:style w:type="table" w:styleId="a6" w:customStyle="1">
    <w:basedOn w:val="TableNormal"/>
    <w:tblPr>
      <w:tblStyleRowBandSize w:val="1"/>
      <w:tblStyleColBandSize w:val="1"/>
      <w:tblCellMar>
        <w:left w:w="103.0" w:type="dxa"/>
      </w:tblCellMar>
    </w:tblPr>
  </w:style>
  <w:style w:type="table" w:styleId="a7" w:customStyle="1">
    <w:basedOn w:val="TableNormal"/>
    <w:tblPr>
      <w:tblStyleRowBandSize w:val="1"/>
      <w:tblStyleColBandSize w:val="1"/>
      <w:tblCellMar>
        <w:left w:w="103.0" w:type="dxa"/>
      </w:tblCellMar>
    </w:tblPr>
  </w:style>
  <w:style w:type="character" w:styleId="CommentReference">
    <w:name w:val="annotation reference"/>
    <w:basedOn w:val="DefaultParagraphFont"/>
    <w:uiPriority w:val="99"/>
    <w:semiHidden w:val="1"/>
    <w:unhideWhenUsed w:val="1"/>
    <w:rsid w:val="00F95B97"/>
    <w:rPr>
      <w:sz w:val="16"/>
      <w:szCs w:val="16"/>
    </w:rPr>
  </w:style>
  <w:style w:type="paragraph" w:styleId="CommentText">
    <w:name w:val="annotation text"/>
    <w:basedOn w:val="Normal"/>
    <w:link w:val="CommentTextChar"/>
    <w:uiPriority w:val="99"/>
    <w:semiHidden w:val="1"/>
    <w:unhideWhenUsed w:val="1"/>
    <w:rsid w:val="00F95B97"/>
    <w:rPr>
      <w:sz w:val="20"/>
      <w:szCs w:val="20"/>
    </w:rPr>
  </w:style>
  <w:style w:type="character" w:styleId="CommentTextChar" w:customStyle="1">
    <w:name w:val="Comment Text Char"/>
    <w:basedOn w:val="DefaultParagraphFont"/>
    <w:link w:val="CommentText"/>
    <w:uiPriority w:val="99"/>
    <w:semiHidden w:val="1"/>
    <w:rsid w:val="00F95B97"/>
    <w:rPr>
      <w:sz w:val="20"/>
      <w:szCs w:val="20"/>
    </w:rPr>
  </w:style>
  <w:style w:type="paragraph" w:styleId="CommentSubject">
    <w:name w:val="annotation subject"/>
    <w:basedOn w:val="CommentText"/>
    <w:next w:val="CommentText"/>
    <w:link w:val="CommentSubjectChar"/>
    <w:uiPriority w:val="99"/>
    <w:semiHidden w:val="1"/>
    <w:unhideWhenUsed w:val="1"/>
    <w:rsid w:val="00F95B97"/>
    <w:rPr>
      <w:b w:val="1"/>
      <w:bCs w:val="1"/>
    </w:rPr>
  </w:style>
  <w:style w:type="character" w:styleId="CommentSubjectChar" w:customStyle="1">
    <w:name w:val="Comment Subject Char"/>
    <w:basedOn w:val="CommentTextChar"/>
    <w:link w:val="CommentSubject"/>
    <w:uiPriority w:val="99"/>
    <w:semiHidden w:val="1"/>
    <w:rsid w:val="00F95B97"/>
    <w:rPr>
      <w:b w:val="1"/>
      <w:bCs w:val="1"/>
      <w:sz w:val="20"/>
      <w:szCs w:val="20"/>
    </w:rPr>
  </w:style>
  <w:style w:type="paragraph" w:styleId="BalloonText">
    <w:name w:val="Balloon Text"/>
    <w:basedOn w:val="Normal"/>
    <w:link w:val="BalloonTextChar"/>
    <w:uiPriority w:val="99"/>
    <w:semiHidden w:val="1"/>
    <w:unhideWhenUsed w:val="1"/>
    <w:rsid w:val="00F95B97"/>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95B97"/>
    <w:rPr>
      <w:rFonts w:ascii="Segoe UI" w:cs="Segoe UI" w:hAnsi="Segoe UI"/>
      <w:sz w:val="18"/>
      <w:szCs w:val="1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xqOVse/PsL5vMmbaTwUhS5lAFg==">CgMxLjAyCGguZ2pkZ3hzMgloLjFmb2I5dGUyCWguMjZpbjFyZzIIaC5sbnhiejkyCWguMzVua3VuMjIJaC4xa3N2NHV2MgloLjQ0c2luaW8yCWguMmp4c3hxaDIIaC56MzM3eWEyCWguM2oycXFtMzgAciExbW55NkhDRWRIaUE3Wmd2UXUwX1lsalRxMktfXzQxa24=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2023-08-07T13:14:00Z</dcterms:created>
</cp:coreProperties>
</file>